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A356D6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83A7B8" wp14:editId="4BC641A4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67456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697F3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F95169">
              <w:rPr>
                <w:b/>
                <w:caps/>
                <w:sz w:val="28"/>
                <w:szCs w:val="28"/>
              </w:rPr>
              <w:t xml:space="preserve"> </w:t>
            </w:r>
            <w:r w:rsidR="00697F3D">
              <w:rPr>
                <w:b/>
                <w:caps/>
                <w:sz w:val="28"/>
                <w:szCs w:val="28"/>
              </w:rPr>
              <w:t xml:space="preserve">СЕДЬМОГО </w:t>
            </w:r>
            <w:r w:rsidRPr="00F67F8F">
              <w:rPr>
                <w:b/>
                <w:caps/>
                <w:sz w:val="28"/>
                <w:szCs w:val="28"/>
              </w:rPr>
              <w:t>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697F3D" w:rsidTr="00EF409D">
        <w:trPr>
          <w:trHeight w:val="1878"/>
        </w:trPr>
        <w:tc>
          <w:tcPr>
            <w:tcW w:w="9854" w:type="dxa"/>
            <w:gridSpan w:val="5"/>
            <w:shd w:val="clear" w:color="auto" w:fill="auto"/>
          </w:tcPr>
          <w:p w:rsidR="00B269AE" w:rsidRPr="009B0FEF" w:rsidRDefault="00A356D6" w:rsidP="00F36B11">
            <w:pPr>
              <w:spacing w:before="480" w:after="480" w:line="240" w:lineRule="exact"/>
              <w:ind w:right="4251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FD11DE7" wp14:editId="6474DAE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33DCF3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9B0FEF">
              <w:rPr>
                <w:sz w:val="23"/>
                <w:szCs w:val="23"/>
              </w:rPr>
              <w:t>О внесении изменени</w:t>
            </w:r>
            <w:r w:rsidR="00EF409D">
              <w:rPr>
                <w:sz w:val="23"/>
                <w:szCs w:val="23"/>
              </w:rPr>
              <w:t>й</w:t>
            </w:r>
            <w:r w:rsidR="002517ED" w:rsidRPr="009B0FEF">
              <w:rPr>
                <w:sz w:val="23"/>
                <w:szCs w:val="23"/>
              </w:rPr>
              <w:t xml:space="preserve"> в </w:t>
            </w:r>
            <w:r w:rsidR="00EF409D" w:rsidRPr="000B6BA7">
              <w:rPr>
                <w:bCs/>
                <w:color w:val="000000"/>
                <w:sz w:val="23"/>
                <w:szCs w:val="23"/>
              </w:rPr>
              <w:t>Положени</w:t>
            </w:r>
            <w:r w:rsidR="00EF409D">
              <w:rPr>
                <w:bCs/>
                <w:color w:val="000000"/>
                <w:sz w:val="23"/>
                <w:szCs w:val="23"/>
              </w:rPr>
              <w:t>е</w:t>
            </w:r>
            <w:r w:rsidR="00EF409D" w:rsidRPr="000B6BA7">
              <w:rPr>
                <w:bCs/>
                <w:color w:val="000000"/>
                <w:sz w:val="23"/>
                <w:szCs w:val="23"/>
              </w:rPr>
              <w:t xml:space="preserve">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</w:t>
            </w:r>
            <w:r w:rsidR="00EF409D">
              <w:rPr>
                <w:bCs/>
                <w:color w:val="000000"/>
                <w:sz w:val="23"/>
                <w:szCs w:val="23"/>
              </w:rPr>
              <w:t xml:space="preserve">, утвержденное </w:t>
            </w:r>
            <w:r w:rsidR="002517ED" w:rsidRPr="009B0FEF">
              <w:rPr>
                <w:sz w:val="23"/>
                <w:szCs w:val="23"/>
              </w:rPr>
              <w:t>решение</w:t>
            </w:r>
            <w:r w:rsidR="00EF409D">
              <w:rPr>
                <w:sz w:val="23"/>
                <w:szCs w:val="23"/>
              </w:rPr>
              <w:t>м</w:t>
            </w:r>
            <w:r w:rsidR="002517ED" w:rsidRPr="009B0FEF">
              <w:rPr>
                <w:sz w:val="23"/>
                <w:szCs w:val="23"/>
              </w:rPr>
              <w:t xml:space="preserve"> Городской Думы города Усть-Илимска от </w:t>
            </w:r>
            <w:r w:rsidR="009B0FEF" w:rsidRPr="009B0FEF">
              <w:rPr>
                <w:iCs/>
                <w:color w:val="000000"/>
                <w:sz w:val="23"/>
                <w:szCs w:val="23"/>
              </w:rPr>
              <w:t>24.11.2021г. № 30/19</w:t>
            </w:r>
            <w:r w:rsidR="000B6BA7">
              <w:rPr>
                <w:iCs/>
                <w:color w:val="000000"/>
                <w:sz w:val="23"/>
                <w:szCs w:val="23"/>
              </w:rPr>
              <w:t>7</w:t>
            </w:r>
          </w:p>
        </w:tc>
      </w:tr>
    </w:tbl>
    <w:p w:rsidR="00324A96" w:rsidRPr="00697F3D" w:rsidRDefault="008E7A9E" w:rsidP="00324A96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соответствии с </w:t>
      </w:r>
      <w:r w:rsidRPr="008E7A9E">
        <w:rPr>
          <w:sz w:val="23"/>
          <w:szCs w:val="23"/>
        </w:rPr>
        <w:t>Федеральны</w:t>
      </w:r>
      <w:r>
        <w:rPr>
          <w:sz w:val="23"/>
          <w:szCs w:val="23"/>
        </w:rPr>
        <w:t>м</w:t>
      </w:r>
      <w:r w:rsidRPr="008E7A9E">
        <w:rPr>
          <w:sz w:val="23"/>
          <w:szCs w:val="23"/>
        </w:rPr>
        <w:t xml:space="preserve"> закон</w:t>
      </w:r>
      <w:r>
        <w:rPr>
          <w:sz w:val="23"/>
          <w:szCs w:val="23"/>
        </w:rPr>
        <w:t>ом</w:t>
      </w:r>
      <w:r w:rsidRPr="008E7A9E">
        <w:rPr>
          <w:sz w:val="23"/>
          <w:szCs w:val="23"/>
        </w:rPr>
        <w:t xml:space="preserve"> от 04.08.2023</w:t>
      </w:r>
      <w:r>
        <w:rPr>
          <w:sz w:val="23"/>
          <w:szCs w:val="23"/>
        </w:rPr>
        <w:t>г.</w:t>
      </w:r>
      <w:r w:rsidRPr="008E7A9E">
        <w:rPr>
          <w:sz w:val="23"/>
          <w:szCs w:val="23"/>
        </w:rPr>
        <w:t xml:space="preserve"> </w:t>
      </w:r>
      <w:r>
        <w:rPr>
          <w:sz w:val="23"/>
          <w:szCs w:val="23"/>
        </w:rPr>
        <w:t>№</w:t>
      </w:r>
      <w:r w:rsidRPr="008E7A9E">
        <w:rPr>
          <w:sz w:val="23"/>
          <w:szCs w:val="23"/>
        </w:rPr>
        <w:t xml:space="preserve"> 483-ФЗ</w:t>
      </w:r>
      <w:r>
        <w:rPr>
          <w:sz w:val="23"/>
          <w:szCs w:val="23"/>
        </w:rPr>
        <w:t xml:space="preserve"> «</w:t>
      </w:r>
      <w:r w:rsidRPr="008E7A9E">
        <w:rPr>
          <w:sz w:val="23"/>
          <w:szCs w:val="23"/>
        </w:rPr>
        <w:t xml:space="preserve">О внесении изменений в статью 52 Федерального закона </w:t>
      </w:r>
      <w:r>
        <w:rPr>
          <w:sz w:val="23"/>
          <w:szCs w:val="23"/>
        </w:rPr>
        <w:t>«</w:t>
      </w:r>
      <w:r w:rsidRPr="008E7A9E">
        <w:rPr>
          <w:sz w:val="23"/>
          <w:szCs w:val="23"/>
        </w:rPr>
        <w:t>О государственном контроле (надзоре) и муниципальном контроле в Российской Федерации</w:t>
      </w:r>
      <w:r>
        <w:rPr>
          <w:sz w:val="23"/>
          <w:szCs w:val="23"/>
        </w:rPr>
        <w:t>»</w:t>
      </w:r>
      <w:r w:rsidRPr="008E7A9E">
        <w:rPr>
          <w:sz w:val="23"/>
          <w:szCs w:val="23"/>
        </w:rPr>
        <w:t xml:space="preserve"> и статью 4 Федерального закона </w:t>
      </w:r>
      <w:r>
        <w:rPr>
          <w:sz w:val="23"/>
          <w:szCs w:val="23"/>
        </w:rPr>
        <w:t xml:space="preserve">                          «</w:t>
      </w:r>
      <w:r w:rsidRPr="008E7A9E">
        <w:rPr>
          <w:sz w:val="23"/>
          <w:szCs w:val="23"/>
        </w:rPr>
        <w:t>О внесении изменений в отдельные законодательные акты Российской Федерации</w:t>
      </w:r>
      <w:r>
        <w:rPr>
          <w:sz w:val="23"/>
          <w:szCs w:val="23"/>
        </w:rPr>
        <w:t>», п</w:t>
      </w:r>
      <w:r w:rsidR="00545346" w:rsidRPr="008E7A9E">
        <w:rPr>
          <w:sz w:val="23"/>
          <w:szCs w:val="23"/>
        </w:rPr>
        <w:t>ринимая во внимание рекомендации рабочей группы по вопросам реализации мероприятий исполнительных органов государственной власти Иркутской области, органов местного самоуправления муниципальных образований Иркутской области, необходимых для реализации Федерального закона от 31.07.2020г. № 248</w:t>
      </w:r>
      <w:r w:rsidR="00545346">
        <w:rPr>
          <w:sz w:val="23"/>
          <w:szCs w:val="23"/>
        </w:rPr>
        <w:t xml:space="preserve">-ФЗ «О государственном контроле (надзоре), муниципальном контроле в Российской Федерации» </w:t>
      </w:r>
      <w:r w:rsidR="00F67D49">
        <w:rPr>
          <w:sz w:val="23"/>
          <w:szCs w:val="23"/>
        </w:rPr>
        <w:t xml:space="preserve">(протокол </w:t>
      </w:r>
      <w:r w:rsidR="00545346">
        <w:rPr>
          <w:sz w:val="23"/>
          <w:szCs w:val="23"/>
        </w:rPr>
        <w:t>от 16.06.2023г. № 06-20-792/23</w:t>
      </w:r>
      <w:r w:rsidR="00F67D49">
        <w:rPr>
          <w:sz w:val="23"/>
          <w:szCs w:val="23"/>
        </w:rPr>
        <w:t>)</w:t>
      </w:r>
      <w:r w:rsidR="00545346">
        <w:rPr>
          <w:sz w:val="23"/>
          <w:szCs w:val="23"/>
        </w:rPr>
        <w:t>, р</w:t>
      </w:r>
      <w:r w:rsidR="00635A7B" w:rsidRPr="00697F3D">
        <w:rPr>
          <w:sz w:val="23"/>
          <w:szCs w:val="23"/>
        </w:rPr>
        <w:t>уководствуясь</w:t>
      </w:r>
      <w:r w:rsidR="00F34FCA" w:rsidRPr="00697F3D">
        <w:rPr>
          <w:sz w:val="23"/>
          <w:szCs w:val="23"/>
        </w:rPr>
        <w:t xml:space="preserve"> статьями </w:t>
      </w:r>
      <w:r w:rsidR="00324A96" w:rsidRPr="00697F3D">
        <w:rPr>
          <w:sz w:val="23"/>
          <w:szCs w:val="23"/>
        </w:rPr>
        <w:t xml:space="preserve">23, 25, </w:t>
      </w:r>
      <w:r w:rsidR="00C72895" w:rsidRPr="00697F3D">
        <w:rPr>
          <w:sz w:val="23"/>
          <w:szCs w:val="23"/>
        </w:rPr>
        <w:t>3</w:t>
      </w:r>
      <w:r w:rsidR="00545346">
        <w:rPr>
          <w:sz w:val="23"/>
          <w:szCs w:val="23"/>
        </w:rPr>
        <w:t>4</w:t>
      </w:r>
      <w:r w:rsidR="00C72895" w:rsidRPr="00697F3D">
        <w:rPr>
          <w:sz w:val="23"/>
          <w:szCs w:val="23"/>
        </w:rPr>
        <w:t xml:space="preserve">, </w:t>
      </w:r>
      <w:r w:rsidR="00324A96" w:rsidRPr="00697F3D">
        <w:rPr>
          <w:sz w:val="23"/>
          <w:szCs w:val="23"/>
        </w:rPr>
        <w:t xml:space="preserve">43 Устава муниципального образования город </w:t>
      </w:r>
      <w:r w:rsidR="009C5DF6">
        <w:rPr>
          <w:sz w:val="23"/>
          <w:szCs w:val="23"/>
        </w:rPr>
        <w:t xml:space="preserve">                  </w:t>
      </w:r>
      <w:r w:rsidR="00324A96" w:rsidRPr="00697F3D">
        <w:rPr>
          <w:sz w:val="23"/>
          <w:szCs w:val="23"/>
        </w:rPr>
        <w:t xml:space="preserve">Усть-Илимск, Городская Дума, - </w:t>
      </w:r>
    </w:p>
    <w:p w:rsidR="00324A96" w:rsidRPr="00697F3D" w:rsidRDefault="00324A96" w:rsidP="00697F3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697F3D">
        <w:rPr>
          <w:b/>
          <w:sz w:val="23"/>
          <w:szCs w:val="23"/>
        </w:rPr>
        <w:t>РЕШИЛА</w:t>
      </w:r>
      <w:r w:rsidRPr="00697F3D">
        <w:rPr>
          <w:sz w:val="23"/>
          <w:szCs w:val="23"/>
        </w:rPr>
        <w:t>:</w:t>
      </w:r>
    </w:p>
    <w:p w:rsidR="00D114DA" w:rsidRDefault="00D114DA" w:rsidP="000B6BA7">
      <w:pPr>
        <w:keepLines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0B6BA7">
        <w:rPr>
          <w:sz w:val="23"/>
          <w:szCs w:val="23"/>
        </w:rPr>
        <w:t xml:space="preserve">1. </w:t>
      </w:r>
      <w:r w:rsidR="00635A7B" w:rsidRPr="000B6BA7">
        <w:rPr>
          <w:sz w:val="23"/>
          <w:szCs w:val="23"/>
        </w:rPr>
        <w:t>Внести в</w:t>
      </w:r>
      <w:r w:rsidR="008C1AB6" w:rsidRPr="000B6BA7">
        <w:rPr>
          <w:sz w:val="23"/>
          <w:szCs w:val="23"/>
        </w:rPr>
        <w:t xml:space="preserve"> </w:t>
      </w:r>
      <w:r w:rsidR="00EF409D" w:rsidRPr="000B6BA7">
        <w:rPr>
          <w:bCs/>
          <w:color w:val="000000"/>
          <w:sz w:val="23"/>
          <w:szCs w:val="23"/>
        </w:rPr>
        <w:t>Положени</w:t>
      </w:r>
      <w:r w:rsidR="00EF409D">
        <w:rPr>
          <w:bCs/>
          <w:color w:val="000000"/>
          <w:sz w:val="23"/>
          <w:szCs w:val="23"/>
        </w:rPr>
        <w:t>е</w:t>
      </w:r>
      <w:r w:rsidR="00EF409D" w:rsidRPr="000B6BA7">
        <w:rPr>
          <w:bCs/>
          <w:color w:val="000000"/>
          <w:sz w:val="23"/>
          <w:szCs w:val="23"/>
        </w:rPr>
        <w:t xml:space="preserve">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</w:t>
      </w:r>
      <w:r w:rsidR="00EF409D">
        <w:rPr>
          <w:bCs/>
          <w:color w:val="000000"/>
          <w:sz w:val="23"/>
          <w:szCs w:val="23"/>
        </w:rPr>
        <w:t xml:space="preserve">, утвержденное </w:t>
      </w:r>
      <w:r w:rsidR="00324A96" w:rsidRPr="000B6BA7">
        <w:rPr>
          <w:sz w:val="23"/>
          <w:szCs w:val="23"/>
        </w:rPr>
        <w:t>решени</w:t>
      </w:r>
      <w:r w:rsidR="00635A7B" w:rsidRPr="000B6BA7">
        <w:rPr>
          <w:sz w:val="23"/>
          <w:szCs w:val="23"/>
        </w:rPr>
        <w:t>е</w:t>
      </w:r>
      <w:r w:rsidR="00EF409D">
        <w:rPr>
          <w:sz w:val="23"/>
          <w:szCs w:val="23"/>
        </w:rPr>
        <w:t>м</w:t>
      </w:r>
      <w:r w:rsidR="00324A96" w:rsidRPr="000B6BA7">
        <w:rPr>
          <w:sz w:val="23"/>
          <w:szCs w:val="23"/>
        </w:rPr>
        <w:t xml:space="preserve"> Городской Думы города Усть-Илимска от </w:t>
      </w:r>
      <w:r w:rsidR="00697F3D" w:rsidRPr="000B6BA7">
        <w:rPr>
          <w:sz w:val="23"/>
          <w:szCs w:val="23"/>
        </w:rPr>
        <w:t>24</w:t>
      </w:r>
      <w:r w:rsidR="00324A96" w:rsidRPr="000B6BA7">
        <w:rPr>
          <w:sz w:val="23"/>
          <w:szCs w:val="23"/>
        </w:rPr>
        <w:t>.</w:t>
      </w:r>
      <w:r w:rsidR="00697F3D" w:rsidRPr="000B6BA7">
        <w:rPr>
          <w:sz w:val="23"/>
          <w:szCs w:val="23"/>
        </w:rPr>
        <w:t>11</w:t>
      </w:r>
      <w:r w:rsidR="00324A96" w:rsidRPr="000B6BA7">
        <w:rPr>
          <w:sz w:val="23"/>
          <w:szCs w:val="23"/>
        </w:rPr>
        <w:t>.20</w:t>
      </w:r>
      <w:r w:rsidR="00697F3D" w:rsidRPr="000B6BA7">
        <w:rPr>
          <w:sz w:val="23"/>
          <w:szCs w:val="23"/>
        </w:rPr>
        <w:t>21</w:t>
      </w:r>
      <w:r w:rsidR="00324A96" w:rsidRPr="000B6BA7">
        <w:rPr>
          <w:sz w:val="23"/>
          <w:szCs w:val="23"/>
        </w:rPr>
        <w:t xml:space="preserve">г. № </w:t>
      </w:r>
      <w:r w:rsidR="00697F3D" w:rsidRPr="000B6BA7">
        <w:rPr>
          <w:sz w:val="23"/>
          <w:szCs w:val="23"/>
        </w:rPr>
        <w:t>30</w:t>
      </w:r>
      <w:r w:rsidR="00324A96" w:rsidRPr="000B6BA7">
        <w:rPr>
          <w:sz w:val="23"/>
          <w:szCs w:val="23"/>
        </w:rPr>
        <w:t>/</w:t>
      </w:r>
      <w:r w:rsidR="00697F3D" w:rsidRPr="000B6BA7">
        <w:rPr>
          <w:sz w:val="23"/>
          <w:szCs w:val="23"/>
        </w:rPr>
        <w:t>19</w:t>
      </w:r>
      <w:r w:rsidR="000B6BA7" w:rsidRPr="000B6BA7">
        <w:rPr>
          <w:sz w:val="23"/>
          <w:szCs w:val="23"/>
        </w:rPr>
        <w:t>7</w:t>
      </w:r>
      <w:r w:rsidR="00545346">
        <w:rPr>
          <w:sz w:val="23"/>
          <w:szCs w:val="23"/>
        </w:rPr>
        <w:t xml:space="preserve"> (далее – Положение</w:t>
      </w:r>
      <w:bookmarkStart w:id="0" w:name="_GoBack"/>
      <w:bookmarkEnd w:id="0"/>
      <w:r w:rsidR="000803C0">
        <w:rPr>
          <w:sz w:val="23"/>
          <w:szCs w:val="23"/>
        </w:rPr>
        <w:t>),</w:t>
      </w:r>
      <w:r w:rsidR="000803C0">
        <w:rPr>
          <w:bCs/>
          <w:color w:val="000000"/>
          <w:sz w:val="23"/>
          <w:szCs w:val="23"/>
        </w:rPr>
        <w:t xml:space="preserve"> следующие</w:t>
      </w:r>
      <w:r w:rsidR="00635A7B" w:rsidRPr="00697F3D">
        <w:rPr>
          <w:sz w:val="23"/>
          <w:szCs w:val="23"/>
        </w:rPr>
        <w:t xml:space="preserve"> изменени</w:t>
      </w:r>
      <w:r w:rsidR="00EF409D">
        <w:rPr>
          <w:sz w:val="23"/>
          <w:szCs w:val="23"/>
        </w:rPr>
        <w:t>я</w:t>
      </w:r>
      <w:r w:rsidR="00635A7B" w:rsidRPr="00697F3D">
        <w:rPr>
          <w:sz w:val="23"/>
          <w:szCs w:val="23"/>
        </w:rPr>
        <w:t>: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пункт 13 </w:t>
      </w:r>
      <w:r w:rsidR="00545346">
        <w:rPr>
          <w:color w:val="000000"/>
          <w:sz w:val="23"/>
          <w:szCs w:val="23"/>
        </w:rPr>
        <w:t xml:space="preserve">дополнить подпунктами 3, 4 </w:t>
      </w:r>
      <w:r>
        <w:rPr>
          <w:color w:val="000000"/>
          <w:sz w:val="23"/>
          <w:szCs w:val="23"/>
        </w:rPr>
        <w:t>следующе</w:t>
      </w:r>
      <w:r w:rsidR="00545346">
        <w:rPr>
          <w:color w:val="000000"/>
          <w:sz w:val="23"/>
          <w:szCs w:val="23"/>
        </w:rPr>
        <w:t>го содержания</w:t>
      </w:r>
      <w:r>
        <w:rPr>
          <w:color w:val="000000"/>
          <w:sz w:val="23"/>
          <w:szCs w:val="23"/>
        </w:rPr>
        <w:t>:</w:t>
      </w:r>
    </w:p>
    <w:p w:rsidR="00F36B11" w:rsidRDefault="00545346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«</w:t>
      </w:r>
      <w:r w:rsidR="00F36B11">
        <w:rPr>
          <w:sz w:val="23"/>
          <w:szCs w:val="23"/>
        </w:rPr>
        <w:t>3) объявление предостережения;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4) профилактический визит.»;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дополнить пунктами </w:t>
      </w:r>
      <w:r w:rsidR="00545346">
        <w:rPr>
          <w:sz w:val="23"/>
          <w:szCs w:val="23"/>
        </w:rPr>
        <w:t>16.1</w:t>
      </w:r>
      <w:r w:rsidR="00F67D49">
        <w:rPr>
          <w:sz w:val="23"/>
          <w:szCs w:val="23"/>
        </w:rPr>
        <w:t xml:space="preserve"> – </w:t>
      </w:r>
      <w:r w:rsidR="00BD281F">
        <w:rPr>
          <w:sz w:val="23"/>
          <w:szCs w:val="23"/>
        </w:rPr>
        <w:t>16.5</w:t>
      </w:r>
      <w:r w:rsidR="00545346">
        <w:rPr>
          <w:sz w:val="23"/>
          <w:szCs w:val="23"/>
        </w:rPr>
        <w:t xml:space="preserve"> </w:t>
      </w:r>
      <w:r>
        <w:rPr>
          <w:sz w:val="23"/>
          <w:szCs w:val="23"/>
        </w:rPr>
        <w:t>следующего содержания: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bCs/>
          <w:sz w:val="23"/>
          <w:szCs w:val="23"/>
          <w:lang w:eastAsia="en-US"/>
        </w:rPr>
      </w:pPr>
      <w:r>
        <w:rPr>
          <w:sz w:val="23"/>
          <w:szCs w:val="23"/>
        </w:rPr>
        <w:t>«</w:t>
      </w:r>
      <w:r w:rsidR="00545346">
        <w:rPr>
          <w:sz w:val="23"/>
          <w:szCs w:val="23"/>
        </w:rPr>
        <w:t>16</w:t>
      </w:r>
      <w:r>
        <w:rPr>
          <w:sz w:val="23"/>
          <w:szCs w:val="23"/>
        </w:rPr>
        <w:t>.</w:t>
      </w:r>
      <w:r w:rsidR="00545346">
        <w:rPr>
          <w:sz w:val="23"/>
          <w:szCs w:val="23"/>
        </w:rPr>
        <w:t>1.</w:t>
      </w:r>
      <w:r>
        <w:rPr>
          <w:sz w:val="23"/>
          <w:szCs w:val="23"/>
        </w:rPr>
        <w:t xml:space="preserve"> </w:t>
      </w:r>
      <w:r>
        <w:rPr>
          <w:bCs/>
          <w:sz w:val="23"/>
          <w:szCs w:val="23"/>
          <w:lang w:eastAsia="en-US"/>
        </w:rPr>
        <w:t>В случае наличия у Комитета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Комитет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bCs/>
          <w:sz w:val="23"/>
          <w:szCs w:val="23"/>
          <w:lang w:eastAsia="en-US"/>
        </w:rPr>
      </w:pPr>
      <w:r>
        <w:rPr>
          <w:bCs/>
          <w:sz w:val="23"/>
          <w:szCs w:val="23"/>
          <w:lang w:eastAsia="en-US"/>
        </w:rPr>
        <w:lastRenderedPageBreak/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                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bCs/>
          <w:sz w:val="23"/>
          <w:szCs w:val="23"/>
          <w:lang w:eastAsia="en-US"/>
        </w:rPr>
      </w:pPr>
      <w:r>
        <w:rPr>
          <w:bCs/>
          <w:sz w:val="23"/>
          <w:szCs w:val="23"/>
          <w:lang w:eastAsia="en-US"/>
        </w:rPr>
        <w:t>Комитет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и контрольных мероприятий.</w:t>
      </w:r>
    </w:p>
    <w:p w:rsidR="00F36B11" w:rsidRDefault="00F67D49" w:rsidP="00F36B11">
      <w:pPr>
        <w:autoSpaceDE w:val="0"/>
        <w:autoSpaceDN w:val="0"/>
        <w:adjustRightInd w:val="0"/>
        <w:ind w:firstLine="709"/>
        <w:jc w:val="both"/>
        <w:rPr>
          <w:bCs/>
          <w:sz w:val="23"/>
          <w:szCs w:val="23"/>
          <w:lang w:eastAsia="en-US"/>
        </w:rPr>
      </w:pPr>
      <w:r>
        <w:rPr>
          <w:bCs/>
          <w:sz w:val="23"/>
          <w:szCs w:val="23"/>
          <w:lang w:eastAsia="en-US"/>
        </w:rPr>
        <w:t xml:space="preserve">16.2. </w:t>
      </w:r>
      <w:r w:rsidR="00F36B11">
        <w:rPr>
          <w:bCs/>
          <w:sz w:val="23"/>
          <w:szCs w:val="23"/>
          <w:lang w:eastAsia="en-US"/>
        </w:rPr>
        <w:t>Контролируемое лицо вправе после получения предостережения о недопустимости нарушения обязательных требований подать в Комитет возражение в отношении указанного предостережения не позднее 30 (тридцати) календарных дней со дня получения им предостережения.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Возражения составляются контролируемым лицом в произвольной форме, но должны включать в себя следующую информацию: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наименование контролируемого лица;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сведения об объекте муниципального контроля;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дата и номер предостережения, направленного в адрес контролируемого лица;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желаемый способ получения ответа по итогам рассмотрения возражения;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фамилия, имя, отчество лица, направившего возражение;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дата направления возражения.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Возражение рассматривается в течение 30 календарных дней, со дня регистрации в Комитете. Лицу, подавшему возражение, не позднее 5 рабочих дней со дня рассмотрения возражения, направляется мотивированный ответ о результатах его рассмотрения.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По результатам рассмотрения возражения принимается одно из следующих решений: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удовлетворить возражение в форме отмены объявленного предостережения с соответствующей отметкой в журнале учета объявленных предостережений;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отказать в удовлетворении возражения.</w:t>
      </w:r>
    </w:p>
    <w:p w:rsidR="00F36B11" w:rsidRDefault="00F36B11" w:rsidP="00F36B11">
      <w:pPr>
        <w:autoSpaceDE w:val="0"/>
        <w:autoSpaceDN w:val="0"/>
        <w:adjustRightInd w:val="0"/>
        <w:ind w:firstLine="709"/>
        <w:jc w:val="both"/>
        <w:rPr>
          <w:bCs/>
          <w:sz w:val="23"/>
          <w:szCs w:val="23"/>
          <w:lang w:eastAsia="en-US"/>
        </w:rPr>
      </w:pPr>
      <w:r>
        <w:rPr>
          <w:sz w:val="23"/>
          <w:szCs w:val="23"/>
        </w:rPr>
        <w:t>Повторное направление возражения по тем же основаниям не допускается.</w:t>
      </w:r>
    </w:p>
    <w:p w:rsidR="00F36B11" w:rsidRDefault="00545346" w:rsidP="00F36B11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16.</w:t>
      </w:r>
      <w:r w:rsidR="00F67D49">
        <w:rPr>
          <w:sz w:val="23"/>
          <w:szCs w:val="23"/>
        </w:rPr>
        <w:t>3</w:t>
      </w:r>
      <w:r>
        <w:rPr>
          <w:sz w:val="23"/>
          <w:szCs w:val="23"/>
        </w:rPr>
        <w:t>.</w:t>
      </w:r>
      <w:r w:rsidR="00F36B11">
        <w:rPr>
          <w:sz w:val="23"/>
          <w:szCs w:val="23"/>
        </w:rPr>
        <w:t xml:space="preserve"> Профилактический визит проводится должностными лицами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F36B11" w:rsidRDefault="00F36B11" w:rsidP="00F36B11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Комитет направляет контролируемому лицу уведомление о проведении обязательного профилактического визита не позднее чем за пять рабочих дней до даты его проведения.</w:t>
      </w:r>
    </w:p>
    <w:p w:rsidR="00F36B11" w:rsidRDefault="00F36B11" w:rsidP="00F36B11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Срок проведения обязательного профилактического визита не может превышать трех рабочих дней.</w:t>
      </w:r>
    </w:p>
    <w:p w:rsidR="00F36B11" w:rsidRDefault="00F36B11" w:rsidP="00F36B11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Контролируемое лицо в соответствии с частью 6 статьи 52 Федерального закона                      № 248-ФЗ имеет право отказаться от проведения обязательного профилактического визита, при этом оно должно уведомить об отказе Комитет не позднее чем за три рабочих дня до даты его проведения.</w:t>
      </w:r>
    </w:p>
    <w:p w:rsidR="00F36B11" w:rsidRDefault="00F67D49" w:rsidP="00F36B11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16.4. </w:t>
      </w:r>
      <w:r w:rsidR="00F36B11">
        <w:rPr>
          <w:rFonts w:ascii="Times New Roman" w:hAnsi="Times New Roman" w:cs="Times New Roman"/>
          <w:sz w:val="23"/>
          <w:szCs w:val="23"/>
        </w:rPr>
        <w:t>По итогам проведенного профилактического визита (в том числе обязательного) контролируемое лицо информируется об обязательных требованиях, предъявляемых к его деятельности либо к объектам контроля, находящимся в его пользовании и (или) владении, соответствии его деятельности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его отнесения к соответствующей категории риска.</w:t>
      </w:r>
    </w:p>
    <w:p w:rsidR="00F36B11" w:rsidRDefault="00F36B11" w:rsidP="00F36B11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 проведении профилактического визита </w:t>
      </w:r>
      <w:r w:rsidR="00991776">
        <w:rPr>
          <w:rFonts w:ascii="Times New Roman" w:hAnsi="Times New Roman" w:cs="Times New Roman"/>
          <w:sz w:val="23"/>
          <w:szCs w:val="23"/>
        </w:rPr>
        <w:t>контролируемому лицу</w:t>
      </w:r>
      <w:r>
        <w:rPr>
          <w:rFonts w:ascii="Times New Roman" w:hAnsi="Times New Roman" w:cs="Times New Roman"/>
          <w:sz w:val="23"/>
          <w:szCs w:val="23"/>
        </w:rPr>
        <w:t xml:space="preserve"> не могут выдаваться предписания об устранении нарушений обязательных требований</w:t>
      </w:r>
      <w:r w:rsidR="00590707">
        <w:rPr>
          <w:rFonts w:ascii="Times New Roman" w:hAnsi="Times New Roman" w:cs="Times New Roman"/>
          <w:sz w:val="23"/>
          <w:szCs w:val="23"/>
        </w:rPr>
        <w:t>, установленных Федеральным законом № 190-ФЗ.</w:t>
      </w:r>
    </w:p>
    <w:p w:rsidR="00F36B11" w:rsidRDefault="00F36B11" w:rsidP="00F36B11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случае, если при проведении профилактического визита установлено, что объекты </w:t>
      </w:r>
      <w:r>
        <w:rPr>
          <w:rFonts w:ascii="Times New Roman" w:hAnsi="Times New Roman" w:cs="Times New Roman"/>
          <w:sz w:val="23"/>
          <w:szCs w:val="23"/>
        </w:rPr>
        <w:lastRenderedPageBreak/>
        <w:t>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незамедлительно направляет информацию об этом председателю Комитета для принятия решения о про</w:t>
      </w:r>
      <w:r w:rsidR="00BD281F">
        <w:rPr>
          <w:rFonts w:ascii="Times New Roman" w:hAnsi="Times New Roman" w:cs="Times New Roman"/>
          <w:sz w:val="23"/>
          <w:szCs w:val="23"/>
        </w:rPr>
        <w:t>ведении контрольных мероприятий</w:t>
      </w:r>
      <w:r w:rsidR="00F67D49">
        <w:rPr>
          <w:rFonts w:ascii="Times New Roman" w:hAnsi="Times New Roman" w:cs="Times New Roman"/>
          <w:sz w:val="23"/>
          <w:szCs w:val="23"/>
        </w:rPr>
        <w:t>.</w:t>
      </w:r>
    </w:p>
    <w:p w:rsidR="00BD281F" w:rsidRPr="00BD281F" w:rsidRDefault="00BD281F" w:rsidP="00BD281F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BD281F">
        <w:rPr>
          <w:sz w:val="23"/>
          <w:szCs w:val="23"/>
        </w:rPr>
        <w:t>16.</w:t>
      </w:r>
      <w:r w:rsidR="00F67D49">
        <w:rPr>
          <w:sz w:val="23"/>
          <w:szCs w:val="23"/>
        </w:rPr>
        <w:t>5</w:t>
      </w:r>
      <w:r w:rsidRPr="00BD281F">
        <w:rPr>
          <w:sz w:val="23"/>
          <w:szCs w:val="23"/>
        </w:rPr>
        <w:t>. Контролируемое лицо вправе обратиться в Ко</w:t>
      </w:r>
      <w:r w:rsidR="00F67D49">
        <w:rPr>
          <w:sz w:val="23"/>
          <w:szCs w:val="23"/>
        </w:rPr>
        <w:t xml:space="preserve">митет </w:t>
      </w:r>
      <w:r w:rsidRPr="00BD281F">
        <w:rPr>
          <w:sz w:val="23"/>
          <w:szCs w:val="23"/>
        </w:rPr>
        <w:t>с заявлением о проведении в отношении его профилактического визита (далее – заявление контролируемого лица)</w:t>
      </w:r>
      <w:r w:rsidR="00F67D49">
        <w:rPr>
          <w:sz w:val="23"/>
          <w:szCs w:val="23"/>
        </w:rPr>
        <w:t>.</w:t>
      </w:r>
    </w:p>
    <w:p w:rsidR="00BD281F" w:rsidRPr="00BD281F" w:rsidRDefault="00BD281F" w:rsidP="00BD281F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BD281F">
        <w:rPr>
          <w:sz w:val="23"/>
          <w:szCs w:val="23"/>
        </w:rPr>
        <w:t>Ко</w:t>
      </w:r>
      <w:r w:rsidR="00F67D49">
        <w:rPr>
          <w:sz w:val="23"/>
          <w:szCs w:val="23"/>
        </w:rPr>
        <w:t xml:space="preserve">митет </w:t>
      </w:r>
      <w:r w:rsidRPr="00BD281F">
        <w:rPr>
          <w:sz w:val="23"/>
          <w:szCs w:val="23"/>
        </w:rPr>
        <w:t xml:space="preserve">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</w:t>
      </w:r>
      <w:r w:rsidR="00F67D49">
        <w:rPr>
          <w:sz w:val="23"/>
          <w:szCs w:val="23"/>
        </w:rPr>
        <w:t xml:space="preserve">своих </w:t>
      </w:r>
      <w:r w:rsidRPr="00BD281F">
        <w:rPr>
          <w:sz w:val="23"/>
          <w:szCs w:val="23"/>
        </w:rPr>
        <w:t xml:space="preserve">материальных, финансовых и кадровых ресурсов, категории риска объекта </w:t>
      </w:r>
      <w:r w:rsidR="00F67D49">
        <w:rPr>
          <w:sz w:val="23"/>
          <w:szCs w:val="23"/>
        </w:rPr>
        <w:t xml:space="preserve">муниципального </w:t>
      </w:r>
      <w:r w:rsidRPr="00BD281F">
        <w:rPr>
          <w:sz w:val="23"/>
          <w:szCs w:val="23"/>
        </w:rPr>
        <w:t>контроля, о чем уведомляет контролируемое лицо</w:t>
      </w:r>
      <w:r w:rsidR="00F67D49">
        <w:rPr>
          <w:sz w:val="23"/>
          <w:szCs w:val="23"/>
        </w:rPr>
        <w:t>.</w:t>
      </w:r>
    </w:p>
    <w:p w:rsidR="00BD281F" w:rsidRPr="00BD281F" w:rsidRDefault="00BD281F" w:rsidP="00BD281F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BD281F">
        <w:rPr>
          <w:sz w:val="23"/>
          <w:szCs w:val="23"/>
        </w:rPr>
        <w:t>Ко</w:t>
      </w:r>
      <w:r w:rsidR="00F67D49">
        <w:rPr>
          <w:sz w:val="23"/>
          <w:szCs w:val="23"/>
        </w:rPr>
        <w:t xml:space="preserve">митет </w:t>
      </w:r>
      <w:r w:rsidRPr="00BD281F">
        <w:rPr>
          <w:sz w:val="23"/>
          <w:szCs w:val="23"/>
        </w:rPr>
        <w:t>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BD281F" w:rsidRPr="00BD281F" w:rsidRDefault="00BD281F" w:rsidP="00BD281F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BD281F">
        <w:rPr>
          <w:sz w:val="23"/>
          <w:szCs w:val="23"/>
        </w:rPr>
        <w:t>от контролируемого лица поступило уведомление об отзыве заявления о проведении профилактического визита;</w:t>
      </w:r>
    </w:p>
    <w:p w:rsidR="00BD281F" w:rsidRPr="00BD281F" w:rsidRDefault="00BD281F" w:rsidP="00BD281F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BD281F">
        <w:rPr>
          <w:sz w:val="23"/>
          <w:szCs w:val="23"/>
        </w:rPr>
        <w:t>в течение двух месяцев до даты подачи заявления контролируемого лица Ко</w:t>
      </w:r>
      <w:r w:rsidR="00F67D49">
        <w:rPr>
          <w:sz w:val="23"/>
          <w:szCs w:val="23"/>
        </w:rPr>
        <w:t>митетом</w:t>
      </w:r>
      <w:r w:rsidRPr="00BD281F">
        <w:rPr>
          <w:sz w:val="23"/>
          <w:szCs w:val="23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:rsidR="00BD281F" w:rsidRPr="00BD281F" w:rsidRDefault="00BD281F" w:rsidP="00BD281F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BD281F">
        <w:rPr>
          <w:sz w:val="23"/>
          <w:szCs w:val="23"/>
        </w:rPr>
        <w:t>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BD281F" w:rsidRPr="00BD281F" w:rsidRDefault="00BD281F" w:rsidP="00BD281F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BD281F">
        <w:rPr>
          <w:sz w:val="23"/>
          <w:szCs w:val="23"/>
        </w:rPr>
        <w:t>заявление контролируемого лица содержит нецензурные либо оскорбительные выражения, угрозы жизни, здоровью и имуществу должностных лиц либо членов их семей.»;</w:t>
      </w:r>
    </w:p>
    <w:p w:rsidR="00F36B11" w:rsidRPr="00BD281F" w:rsidRDefault="00545346" w:rsidP="00F36B11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D281F">
        <w:rPr>
          <w:rFonts w:ascii="Times New Roman" w:hAnsi="Times New Roman" w:cs="Times New Roman"/>
          <w:sz w:val="23"/>
          <w:szCs w:val="23"/>
        </w:rPr>
        <w:t>3</w:t>
      </w:r>
      <w:r w:rsidR="00F36B11" w:rsidRPr="00BD281F">
        <w:rPr>
          <w:rFonts w:ascii="Times New Roman" w:hAnsi="Times New Roman" w:cs="Times New Roman"/>
          <w:sz w:val="23"/>
          <w:szCs w:val="23"/>
        </w:rPr>
        <w:t xml:space="preserve">) </w:t>
      </w:r>
      <w:r w:rsidRPr="00BD281F">
        <w:rPr>
          <w:rFonts w:ascii="Times New Roman" w:hAnsi="Times New Roman" w:cs="Times New Roman"/>
          <w:sz w:val="23"/>
          <w:szCs w:val="23"/>
        </w:rPr>
        <w:t xml:space="preserve">строку 2 </w:t>
      </w:r>
      <w:r w:rsidR="00F36B11" w:rsidRPr="00BD281F">
        <w:rPr>
          <w:rFonts w:ascii="Times New Roman" w:hAnsi="Times New Roman" w:cs="Times New Roman"/>
          <w:sz w:val="23"/>
          <w:szCs w:val="23"/>
        </w:rPr>
        <w:t>таблиц</w:t>
      </w:r>
      <w:r w:rsidR="00F67D49">
        <w:rPr>
          <w:rFonts w:ascii="Times New Roman" w:hAnsi="Times New Roman" w:cs="Times New Roman"/>
          <w:sz w:val="23"/>
          <w:szCs w:val="23"/>
        </w:rPr>
        <w:t>ы</w:t>
      </w:r>
      <w:r w:rsidR="00F36B11" w:rsidRPr="00BD281F">
        <w:rPr>
          <w:rFonts w:ascii="Times New Roman" w:hAnsi="Times New Roman" w:cs="Times New Roman"/>
          <w:sz w:val="23"/>
          <w:szCs w:val="23"/>
        </w:rPr>
        <w:t xml:space="preserve"> № 1 приложения № 2 к Положению </w:t>
      </w:r>
      <w:r w:rsidRPr="00BD281F">
        <w:rPr>
          <w:rFonts w:ascii="Times New Roman" w:hAnsi="Times New Roman" w:cs="Times New Roman"/>
          <w:sz w:val="23"/>
          <w:szCs w:val="23"/>
        </w:rPr>
        <w:t>признать утратившей силу</w:t>
      </w:r>
      <w:r w:rsidR="00F36B11" w:rsidRPr="00BD281F">
        <w:rPr>
          <w:rFonts w:ascii="Times New Roman" w:hAnsi="Times New Roman" w:cs="Times New Roman"/>
          <w:sz w:val="23"/>
          <w:szCs w:val="23"/>
        </w:rPr>
        <w:t>.</w:t>
      </w:r>
    </w:p>
    <w:p w:rsidR="00D114DA" w:rsidRPr="00D114DA" w:rsidRDefault="00D114DA" w:rsidP="00D114DA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BD281F">
        <w:rPr>
          <w:sz w:val="23"/>
          <w:szCs w:val="23"/>
        </w:rPr>
        <w:t>2. Опубликовать настоящее</w:t>
      </w:r>
      <w:r w:rsidRPr="00D114DA">
        <w:rPr>
          <w:sz w:val="23"/>
          <w:szCs w:val="23"/>
        </w:rPr>
        <w:t xml:space="preserve"> решение в газете «Усть-Илимск официальный», разместить в сетевом издании «UST-ILIMSK» (</w:t>
      </w:r>
      <w:hyperlink r:id="rId8" w:history="1">
        <w:r w:rsidRPr="00F36B11">
          <w:rPr>
            <w:rStyle w:val="aa"/>
            <w:color w:val="auto"/>
            <w:sz w:val="23"/>
            <w:szCs w:val="23"/>
          </w:rPr>
          <w:t>www.усть-илимскофициальный.рф</w:t>
        </w:r>
      </w:hyperlink>
      <w:r w:rsidRPr="00D114DA">
        <w:rPr>
          <w:sz w:val="23"/>
          <w:szCs w:val="23"/>
        </w:rPr>
        <w:t>), на официальных сайтах Городской Думы города Усть-Илимска</w:t>
      </w:r>
      <w:r w:rsidR="00991776">
        <w:rPr>
          <w:sz w:val="23"/>
          <w:szCs w:val="23"/>
        </w:rPr>
        <w:t>,</w:t>
      </w:r>
      <w:r w:rsidRPr="00D114DA">
        <w:rPr>
          <w:sz w:val="23"/>
          <w:szCs w:val="23"/>
        </w:rPr>
        <w:t xml:space="preserve"> Администрации города Усть-Илимска.</w:t>
      </w:r>
    </w:p>
    <w:p w:rsidR="00D114DA" w:rsidRPr="0017636C" w:rsidRDefault="00D114DA" w:rsidP="00D114D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D114DA" w:rsidRPr="0017636C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Pr="0017636C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17636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       </w:t>
      </w:r>
      <w:r>
        <w:rPr>
          <w:b/>
          <w:iCs/>
          <w:color w:val="000000"/>
          <w:sz w:val="23"/>
          <w:szCs w:val="23"/>
        </w:rPr>
        <w:t xml:space="preserve">       </w:t>
      </w:r>
      <w:r w:rsidRPr="0017636C">
        <w:rPr>
          <w:b/>
          <w:iCs/>
          <w:color w:val="000000"/>
          <w:sz w:val="23"/>
          <w:szCs w:val="23"/>
        </w:rPr>
        <w:t>А.П. Чихирьков</w:t>
      </w: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      </w:t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 w:rsidRPr="0017636C"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 xml:space="preserve">              </w:t>
      </w:r>
      <w:r w:rsidR="000B6BA7">
        <w:rPr>
          <w:b/>
          <w:iCs/>
          <w:color w:val="000000"/>
          <w:sz w:val="23"/>
          <w:szCs w:val="23"/>
        </w:rPr>
        <w:t xml:space="preserve"> </w:t>
      </w:r>
      <w:r>
        <w:rPr>
          <w:b/>
          <w:iCs/>
          <w:color w:val="000000"/>
          <w:sz w:val="23"/>
          <w:szCs w:val="23"/>
        </w:rPr>
        <w:t>А.И. Щекина</w:t>
      </w:r>
    </w:p>
    <w:p w:rsidR="00D114DA" w:rsidRDefault="00D114DA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7F2D0B">
      <w:pPr>
        <w:keepLines/>
        <w:autoSpaceDE w:val="0"/>
        <w:autoSpaceDN w:val="0"/>
        <w:adjustRightInd w:val="0"/>
        <w:jc w:val="center"/>
      </w:pPr>
      <w:r>
        <w:rPr>
          <w:b/>
          <w:bCs/>
        </w:rPr>
        <w:lastRenderedPageBreak/>
        <w:t>ПОЯСНИТЕЛЬНАЯ ЗАПИСКА</w:t>
      </w:r>
    </w:p>
    <w:p w:rsidR="007F2D0B" w:rsidRDefault="007F2D0B" w:rsidP="007F2D0B">
      <w:pPr>
        <w:keepLines/>
        <w:autoSpaceDE w:val="0"/>
        <w:autoSpaceDN w:val="0"/>
        <w:adjustRightInd w:val="0"/>
        <w:jc w:val="center"/>
      </w:pPr>
      <w:r>
        <w:t xml:space="preserve">проект решения Городской Думы города Усть-Илимска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32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3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36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02D22" id="Группа 31" o:spid="_x0000_s1026" style="position:absolute;margin-left:5.65pt;margin-top:22.7pt;width:226.8pt;height:2.85pt;z-index:-25165875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UoLA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eq5FOC0hR1ffr79ef7v6Cd8fBKYhRssqDWDpiazOqzNp&#10;HIXhqYg+KRDbu3L9nprFZL58K2JQSy9qgTFaJbLUKsB7ssJUXK5TwVY1iWCyOxg4PR8yFoGs57vD&#10;vklVlEE+9S7XPwRogdDz+8NWNm12e/2eb7b2D7XMpoH5UzS0Mcx4hS9rB9tYdNtYYAqI233qIOxx&#10;pw0FuIBRMK7Q4G4h2N71xwBA1akbYKmHAes8oxVDvCqNljaYvTaYpzlnxDehxBVjfiYRXSpQgKtb&#10;oXKHKGFJr92lQSVVfcJESfQgtAowAUFIF6eqNtBol2hMcjHLiwLmaVBwsgwtv9d3cIMSRR5roZYp&#10;mc7HhSQLqnkFPw3OtpZB/fIYlWWMxtNmXNO8MGOws+BaH+QazGlGhjg+D53hdDAdeB2v6087njOZ&#10;dN7Mxl7Hn7mH/UlvMh5P3C/aNNcLsjyOGdfWtSTmenfLZUOnhn7WNLYOg72tHUsJjG1/0WgoKpM/&#10;XUYqmIv4EtOK8wAvM/30OPO2cIaFr+0BJD4izhpK2uGVF5xtNO29zeif4OyG3v9G7v0WJw25Y2vZ&#10;7WC6lT9Wh/NdzcZbvepWct+zJ8qmTX97RuQOfdacGpDcBw8g9z0e70bphdzxoAyc/N+ROxTQBs7w&#10;xHdPcve7LnSKvdX4Qu7P+BCxSe44hisRnkOa65u+c22+w3jzkjn6BQ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DJPyUo&#10;LAMAAKwOAAAOAAAAAAAAAAAAAAAAAC4CAABkcnMvZTJvRG9jLnhtbFBLAQItABQABgAIAAAAIQBu&#10;QePf3wAAAAgBAAAPAAAAAAAAAAAAAAAAAIYFAABkcnMvZG93bnJldi54bWxQSwUGAAAAAAQABADz&#10;AAAAkg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t xml:space="preserve">                </w:t>
      </w:r>
    </w:p>
    <w:p w:rsidR="007F2D0B" w:rsidRDefault="007F2D0B" w:rsidP="007F2D0B">
      <w:pPr>
        <w:keepLines/>
        <w:autoSpaceDE w:val="0"/>
        <w:autoSpaceDN w:val="0"/>
        <w:adjustRightInd w:val="0"/>
        <w:jc w:val="center"/>
        <w:rPr>
          <w:bCs/>
          <w:color w:val="000000"/>
        </w:rPr>
      </w:pPr>
      <w:r>
        <w:t>«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5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26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29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247D4A" id="Группа 24" o:spid="_x0000_s1026" style="position:absolute;margin-left:5.65pt;margin-top:22.7pt;width:226.8pt;height:2.85pt;z-index:-25165772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9LLwMAAKwOAAAOAAAAZHJzL2Uyb0RvYy54bWzsV1lu2zAQ/S/QOxD6dyTZsmILkYPCS37S&#10;NkDaA9AStaASKZCK7aAoUKBH6EV6g14huVGHQ8mxXbcJshQBGhuQKQ45nuXNG/LoeFUWZMGkygUP&#10;LffAsQjjkYhznobWxw+zzsAiqqY8poXgLLQumbKOR69fHS2rgHVFJoqYSQJKuAqWVWhldV0Ftq2i&#10;jJVUHYiKcRAmQpa0hleZ2rGkS9BeFnbXcXx7KWRcSRExpWB2YoTWCPUnCYvq90miWE2K0ALbanxK&#10;fM710x4d0SCVtMryqDGD3sOKkuYc/nStakJrSi5k/puqMo+kUCKpDyJR2iJJ8oihD+CN6+x4cyLF&#10;RYW+pMEyrdZhgtDuxOneaqN3izNJ8ji0up5FOC0hR1ffr79ef7v6Cd8fBKYhRssqDWDpiazOqzNp&#10;HIXhqYg+KRDbu3L9nprFZL58K2JQSy9qgTFaJbLUKsB7ssJUXK5TwVY1iWCyOxg4PR8yFoGs57vD&#10;vklVlEE+9S7XPwRogdDz+8NWNm12e/2eb7b2D7XMpoH5UzS0Mcx4hS9rB9tY9NtYYAqI233qIOxx&#10;pw0FuIBRMK7Q4G4h2N71xwBA1akbYKmHAes8oxVDvCqNljaYkAoDrNOcM+KbUOKKMT+TiC4VKMDV&#10;rVC5Q5SwpNfu0qCSqj5hoiR6EFoFmIAgpItTVRtotEs0JrmY5UUB8zQoOFmGlt/rO7hBiSKPtVDL&#10;lEzn40KSBdW8gp8GZ1vLoH55jMoyRuNpM65pXpgx2FlwrQ9yDeY0I0Mcn4fOcDqYDryO1/WnHc+Z&#10;TDpvZmOv48/cw/6kNxmPJ+4XbZrrBVkex4xr61oSc7275bKhU0M/axpbh8He1o6lBMa2v2g0FJXJ&#10;ny4jFcxFfIlpxXmAl5l+epxBnWzgDAtf2wNIfEScNZS0wysvONto2nub0T/B2Q29/43coW8YnDTk&#10;jq1lt4PpVv5YHc53NRtv9apbyX3PniibNv3tGZH7sA0mkvvgAeS+x+PdKL2QOx6UgZP/N3LvAe9u&#10;kDue+O5J7n7XhaPu3mp8IfdnfIjYJHccw5UIzyHN9U3fuTbfYbx5yRz9AgAA//8DAFBLAwQUAAYA&#10;CAAAACEAbkHj398AAAAIAQAADwAAAGRycy9kb3ducmV2LnhtbEyPQUvDQBSE74L/YXmCN7tZmxQb&#10;symlqKci2ArS22vymoRmd0N2m6T/3ufJHocZZr7JVpNpxUC9b5zVoGYRCLKFKxtbafjevz+9gPAB&#10;bYmts6ThSh5W+f1dhmnpRvtFwy5UgkusT1FDHUKXSumLmgz6mevIsndyvcHAsq9k2ePI5aaVz1G0&#10;kAYbyws1drSpqTjvLkbDx4jjeq7ehu35tLke9snnz1aR1o8P0/oVRKAp/IfhD5/RIWemo7vY0ouW&#10;tZpzUkOcxCDYjxfxEsRRQ6IUyDyTtwfyXwAAAP//AwBQSwECLQAUAAYACAAAACEAtoM4kv4AAADh&#10;AQAAEwAAAAAAAAAAAAAAAAAAAAAAW0NvbnRlbnRfVHlwZXNdLnhtbFBLAQItABQABgAIAAAAIQA4&#10;/SH/1gAAAJQBAAALAAAAAAAAAAAAAAAAAC8BAABfcmVscy8ucmVsc1BLAQItABQABgAIAAAAIQBr&#10;cR9LLwMAAKwOAAAOAAAAAAAAAAAAAAAAAC4CAABkcnMvZTJvRG9jLnhtbFBLAQItABQABgAIAAAA&#10;IQBuQePf3wAAAAgBAAAPAAAAAAAAAAAAAAAAAIkFAABkcnMvZG93bnJldi54bWxQSwUGAAAAAAQA&#10;BADzAAAAlQYAAAAA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t xml:space="preserve">О внесении изменений в </w:t>
      </w:r>
      <w:r>
        <w:rPr>
          <w:bCs/>
          <w:color w:val="000000"/>
        </w:rPr>
        <w:t xml:space="preserve">Положение о муниципальном контроле за исполнением </w:t>
      </w:r>
    </w:p>
    <w:p w:rsidR="007F2D0B" w:rsidRDefault="007F2D0B" w:rsidP="007F2D0B">
      <w:pPr>
        <w:keepLines/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 xml:space="preserve">единой теплоснабжающей организацией обязательств по строительству, реконструкции </w:t>
      </w:r>
    </w:p>
    <w:p w:rsidR="007F2D0B" w:rsidRDefault="007F2D0B" w:rsidP="007F2D0B">
      <w:pPr>
        <w:keepLines/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 xml:space="preserve">и (или) модернизации объектов теплоснабжения в муниципальном образовании город </w:t>
      </w:r>
    </w:p>
    <w:p w:rsidR="007F2D0B" w:rsidRDefault="007F2D0B" w:rsidP="007F2D0B">
      <w:pPr>
        <w:keepLines/>
        <w:autoSpaceDE w:val="0"/>
        <w:autoSpaceDN w:val="0"/>
        <w:adjustRightInd w:val="0"/>
        <w:jc w:val="center"/>
      </w:pPr>
      <w:r>
        <w:rPr>
          <w:bCs/>
          <w:color w:val="000000"/>
        </w:rPr>
        <w:t xml:space="preserve">Усть-Илимск, утвержденное </w:t>
      </w:r>
      <w:r>
        <w:t xml:space="preserve">решением Городской Думы города </w:t>
      </w:r>
    </w:p>
    <w:p w:rsidR="007F2D0B" w:rsidRDefault="007F2D0B" w:rsidP="007F2D0B">
      <w:pPr>
        <w:keepLines/>
        <w:autoSpaceDE w:val="0"/>
        <w:autoSpaceDN w:val="0"/>
        <w:adjustRightInd w:val="0"/>
        <w:jc w:val="center"/>
        <w:rPr>
          <w:bCs/>
        </w:rPr>
      </w:pPr>
      <w:r>
        <w:t xml:space="preserve">Усть-Илимска от </w:t>
      </w:r>
      <w:r>
        <w:rPr>
          <w:iCs/>
          <w:color w:val="000000"/>
        </w:rPr>
        <w:t>24.11.2021г. № 30/197»</w:t>
      </w:r>
    </w:p>
    <w:p w:rsidR="007F2D0B" w:rsidRDefault="007F2D0B" w:rsidP="007F2D0B">
      <w:pPr>
        <w:keepLines/>
        <w:autoSpaceDE w:val="0"/>
        <w:autoSpaceDN w:val="0"/>
        <w:adjustRightInd w:val="0"/>
        <w:jc w:val="center"/>
        <w:rPr>
          <w:bCs/>
        </w:rPr>
      </w:pPr>
    </w:p>
    <w:p w:rsidR="007F2D0B" w:rsidRDefault="007F2D0B" w:rsidP="007F2D0B">
      <w:pPr>
        <w:jc w:val="both"/>
      </w:pPr>
      <w:r>
        <w:rPr>
          <w:b/>
        </w:rPr>
        <w:t>Тип проекта правового акта:</w:t>
      </w:r>
      <w:r>
        <w:t xml:space="preserve"> решение Городской Думы города Усть-Илимска.</w:t>
      </w:r>
    </w:p>
    <w:p w:rsidR="007F2D0B" w:rsidRDefault="007F2D0B" w:rsidP="007F2D0B">
      <w:pPr>
        <w:jc w:val="both"/>
      </w:pPr>
    </w:p>
    <w:p w:rsidR="007F2D0B" w:rsidRDefault="007F2D0B" w:rsidP="007F2D0B">
      <w:pPr>
        <w:keepLines/>
        <w:autoSpaceDE w:val="0"/>
        <w:autoSpaceDN w:val="0"/>
        <w:adjustRightInd w:val="0"/>
        <w:jc w:val="both"/>
      </w:pPr>
      <w:r>
        <w:rPr>
          <w:b/>
        </w:rPr>
        <w:t>Наименование проекта правового акта</w:t>
      </w:r>
      <w:r>
        <w:t>:</w:t>
      </w:r>
      <w:r>
        <w:rPr>
          <w:i/>
        </w:rPr>
        <w:t xml:space="preserve"> «</w:t>
      </w:r>
      <w:r>
        <w:t xml:space="preserve">О внесении изменений в </w:t>
      </w:r>
      <w:r>
        <w:rPr>
          <w:bCs/>
          <w:color w:val="000000"/>
        </w:rPr>
        <w:t xml:space="preserve"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Усть-Илимск, утвержденное </w:t>
      </w:r>
      <w:r>
        <w:t xml:space="preserve">решением Городской Думы города Усть-Илимска от </w:t>
      </w:r>
      <w:r>
        <w:rPr>
          <w:iCs/>
          <w:color w:val="000000"/>
        </w:rPr>
        <w:t>24.11.2021г. № 30/197»</w:t>
      </w:r>
      <w:r>
        <w:t xml:space="preserve"> (далее – Положение).</w:t>
      </w:r>
    </w:p>
    <w:p w:rsidR="007F2D0B" w:rsidRDefault="007F2D0B" w:rsidP="007F2D0B">
      <w:pPr>
        <w:jc w:val="both"/>
      </w:pPr>
      <w:r>
        <w:rPr>
          <w:bCs/>
        </w:rPr>
        <w:t xml:space="preserve"> </w:t>
      </w:r>
    </w:p>
    <w:p w:rsidR="007F2D0B" w:rsidRDefault="007F2D0B" w:rsidP="007F2D0B">
      <w:pPr>
        <w:jc w:val="both"/>
      </w:pPr>
      <w:r>
        <w:rPr>
          <w:b/>
        </w:rPr>
        <w:t>Субъект правотворческой инициативы:</w:t>
      </w:r>
      <w:r>
        <w:t xml:space="preserve"> мэр города Усть-Илимска.</w:t>
      </w:r>
    </w:p>
    <w:p w:rsidR="007F2D0B" w:rsidRDefault="007F2D0B" w:rsidP="007F2D0B"/>
    <w:p w:rsidR="007F2D0B" w:rsidRDefault="007F2D0B" w:rsidP="007F2D0B">
      <w:pPr>
        <w:jc w:val="both"/>
        <w:rPr>
          <w:rFonts w:eastAsia="Calibri"/>
        </w:rPr>
      </w:pPr>
      <w:r>
        <w:rPr>
          <w:b/>
        </w:rPr>
        <w:t>Правовое обоснование принятия проекта правового акта:</w:t>
      </w:r>
      <w:r>
        <w:t xml:space="preserve"> пунктом 8 Положения установлено, что при осуществлении муниципального жилищного контроля система оценки и управления рисками не применяется. В этой связи, в соответствии с частью 2 статьи 61 Федерального закона </w:t>
      </w:r>
      <w:r>
        <w:rPr>
          <w:rFonts w:eastAsia="Calibri"/>
        </w:rPr>
        <w:t xml:space="preserve">от 31.07.2020г. № 248-ФЗ «О государственном контроле (надзоре) и муниципальном контроле в Российской Федерации» (далее – Федеральный закон № 248-ФЗ), при осуществлении данного вида муниципального контроля плановые контрольные мероприятия не применяются. Вместе с тем в пункте 2 Таблицы 1 Приложения № 2 к Положению в качестве ключевого показателя указан процент выполнения плана проведения плановых контрольных мероприятий на очередной год. </w:t>
      </w:r>
    </w:p>
    <w:p w:rsidR="007F2D0B" w:rsidRDefault="007F2D0B" w:rsidP="007F2D0B">
      <w:pPr>
        <w:ind w:firstLine="709"/>
        <w:jc w:val="both"/>
        <w:rPr>
          <w:rFonts w:eastAsiaTheme="minorHAnsi"/>
          <w:lang w:eastAsia="en-US"/>
        </w:rPr>
      </w:pPr>
      <w:r>
        <w:rPr>
          <w:bCs/>
          <w:color w:val="000000"/>
        </w:rPr>
        <w:t>Частью 1 статьи 45 Федерального закона № 248-ФЗ установлено, что к</w:t>
      </w:r>
      <w:r>
        <w:rPr>
          <w:rFonts w:eastAsiaTheme="minorHAnsi"/>
          <w:lang w:eastAsia="en-US"/>
        </w:rPr>
        <w:t xml:space="preserve">онтрольные (надзорные) органы могут проводить профилактические мероприятия, в число которых входит: объявление предостережения, профилактический визит. С учетом предмета муниципального контроля за </w:t>
      </w:r>
      <w:r>
        <w:rPr>
          <w:color w:val="000000"/>
        </w:rPr>
        <w:t>исполнением единой теплоснабжающей организацией обязательств</w:t>
      </w:r>
      <w:r>
        <w:rPr>
          <w:rFonts w:eastAsiaTheme="minorHAnsi"/>
          <w:lang w:eastAsia="en-US"/>
        </w:rPr>
        <w:t>, возникла необходимость включения в Положение двух указанных профилактических мероприятий.</w:t>
      </w:r>
    </w:p>
    <w:p w:rsidR="007F2D0B" w:rsidRDefault="007F2D0B" w:rsidP="007F2D0B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t>Федеральным законом от 04.08.2023г. № 483-ФЗ «О внесении изменений в статью 52 Федерального закона «О государственном контроле …..» внесены изменения в статью 52 Федерального закона от 31.07.2020г. № 248-ФЗ в части порядка проведения профилактического мероприятия – профилактический визит. В этой связи в Положение  внесены изменения в порядок проведения профилактического мероприятия.</w:t>
      </w:r>
    </w:p>
    <w:p w:rsidR="007F2D0B" w:rsidRDefault="007F2D0B" w:rsidP="007F2D0B">
      <w:pPr>
        <w:ind w:firstLine="709"/>
        <w:jc w:val="both"/>
      </w:pPr>
      <w:r>
        <w:t xml:space="preserve">По результатам проверки проекта решения Городской Думы города Усть-Илимска      «О внесении изменений в </w:t>
      </w:r>
      <w:r>
        <w:rPr>
          <w:bCs/>
          <w:color w:val="000000"/>
        </w:rPr>
        <w:t xml:space="preserve"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Усть-Илимск, утвержденное </w:t>
      </w:r>
      <w:r>
        <w:t xml:space="preserve">решением Городской Думы города Усть-Илимска от </w:t>
      </w:r>
      <w:r>
        <w:rPr>
          <w:iCs/>
          <w:color w:val="000000"/>
        </w:rPr>
        <w:t>24.11.2021г. № 30/197»</w:t>
      </w:r>
      <w:r>
        <w:t>, Усть-Илимской межрайонной прокуратурой установлено отсутствие коррупциогенных факторов и соответствие представленного проекта муниципального правового акта требованиям действующего законодательства Российской Федерации.</w:t>
      </w:r>
    </w:p>
    <w:p w:rsidR="007F2D0B" w:rsidRDefault="007F2D0B" w:rsidP="007F2D0B">
      <w:pPr>
        <w:jc w:val="both"/>
      </w:pPr>
    </w:p>
    <w:p w:rsidR="007F2D0B" w:rsidRDefault="007F2D0B" w:rsidP="007F2D0B">
      <w:pPr>
        <w:jc w:val="both"/>
      </w:pPr>
      <w:r>
        <w:rPr>
          <w:b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</w:t>
      </w:r>
      <w:r>
        <w:lastRenderedPageBreak/>
        <w:t>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7F2D0B" w:rsidRDefault="007F2D0B" w:rsidP="007F2D0B">
      <w:pPr>
        <w:ind w:firstLine="709"/>
        <w:jc w:val="both"/>
        <w:rPr>
          <w:color w:val="000000"/>
        </w:rPr>
      </w:pPr>
      <w:r>
        <w:t>Источниками официального опубликования проекта являются: газета «Усть-Илимск официальный», сетевое издание «UST-ILIMSK» (</w:t>
      </w:r>
      <w:hyperlink r:id="rId9" w:history="1">
        <w:r>
          <w:rPr>
            <w:rStyle w:val="aa"/>
          </w:rPr>
          <w:t>www.усть-илимскофициальный.рф</w:t>
        </w:r>
      </w:hyperlink>
      <w:r>
        <w:t xml:space="preserve">),  официальные сайты Городской Думы города Усть-Илимска и Администрации города                    Усть-Илимска.  </w:t>
      </w:r>
    </w:p>
    <w:p w:rsidR="007F2D0B" w:rsidRDefault="007F2D0B" w:rsidP="007F2D0B"/>
    <w:p w:rsidR="007F2D0B" w:rsidRDefault="007F2D0B" w:rsidP="007F2D0B">
      <w:pPr>
        <w:jc w:val="both"/>
      </w:pPr>
      <w:r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>
        <w:t xml:space="preserve"> принятие данного муниципального правого акта не требует принятия, отмены, изменения или дополнения муниципальных правовых актов</w:t>
      </w:r>
      <w:r>
        <w:rPr>
          <w:rFonts w:eastAsiaTheme="minorHAnsi"/>
          <w:bCs/>
          <w:color w:val="000000"/>
          <w:lang w:eastAsia="en-US"/>
        </w:rPr>
        <w:t>.</w:t>
      </w:r>
    </w:p>
    <w:p w:rsidR="007F2D0B" w:rsidRDefault="007F2D0B" w:rsidP="007F2D0B">
      <w:pPr>
        <w:jc w:val="both"/>
      </w:pPr>
    </w:p>
    <w:p w:rsidR="007F2D0B" w:rsidRDefault="007F2D0B" w:rsidP="007F2D0B">
      <w:pPr>
        <w:jc w:val="both"/>
      </w:pPr>
      <w:r>
        <w:rPr>
          <w:b/>
        </w:rPr>
        <w:t>Сведения о наличии (отсутствии) необходимости увеличения (уменьшения) расходов бюджета города:</w:t>
      </w:r>
      <w:r>
        <w:t xml:space="preserve"> принятие данного муниципального правового акта не требует дополнительных расходов из бюджета города.</w:t>
      </w:r>
    </w:p>
    <w:p w:rsidR="007F2D0B" w:rsidRDefault="007F2D0B" w:rsidP="007F2D0B">
      <w:pPr>
        <w:jc w:val="both"/>
      </w:pPr>
    </w:p>
    <w:p w:rsidR="007F2D0B" w:rsidRDefault="007F2D0B" w:rsidP="007F2D0B">
      <w:pPr>
        <w:keepLines/>
        <w:autoSpaceDE w:val="0"/>
        <w:autoSpaceDN w:val="0"/>
        <w:adjustRightInd w:val="0"/>
        <w:jc w:val="both"/>
      </w:pPr>
    </w:p>
    <w:p w:rsidR="007F2D0B" w:rsidRDefault="007F2D0B" w:rsidP="007F2D0B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 xml:space="preserve">Председатель Комитета городского </w:t>
      </w:r>
    </w:p>
    <w:p w:rsidR="007F2D0B" w:rsidRDefault="007F2D0B" w:rsidP="007F2D0B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 Администрации</w:t>
      </w:r>
    </w:p>
    <w:p w:rsidR="007F2D0B" w:rsidRDefault="007F2D0B" w:rsidP="007F2D0B">
      <w:pPr>
        <w:tabs>
          <w:tab w:val="left" w:pos="9638"/>
        </w:tabs>
        <w:ind w:right="-1"/>
        <w:jc w:val="center"/>
        <w:rPr>
          <w:b/>
        </w:rPr>
      </w:pPr>
      <w:r>
        <w:rPr>
          <w:b/>
        </w:rPr>
        <w:t>города Усть-Илимска                                                                                          А.О. Байбородин</w:t>
      </w:r>
    </w:p>
    <w:p w:rsidR="007F2D0B" w:rsidRDefault="007F2D0B" w:rsidP="007F2D0B">
      <w:pPr>
        <w:tabs>
          <w:tab w:val="left" w:pos="9638"/>
        </w:tabs>
        <w:ind w:right="-82"/>
        <w:jc w:val="both"/>
        <w:rPr>
          <w:i/>
        </w:rPr>
      </w:pPr>
    </w:p>
    <w:p w:rsidR="007F2D0B" w:rsidRDefault="007F2D0B" w:rsidP="007F2D0B">
      <w:pPr>
        <w:keepLines/>
        <w:autoSpaceDE w:val="0"/>
        <w:autoSpaceDN w:val="0"/>
        <w:adjustRightInd w:val="0"/>
        <w:jc w:val="both"/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7F2D0B">
      <w:pPr>
        <w:jc w:val="center"/>
        <w:rPr>
          <w:sz w:val="20"/>
          <w:szCs w:val="20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F2D0B" w:rsidRDefault="007F2D0B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EB507D" w:rsidRDefault="00EB507D" w:rsidP="00D114DA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EB507D" w:rsidSect="00F67D49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AF6" w:rsidRDefault="008E0AF6">
      <w:r>
        <w:separator/>
      </w:r>
    </w:p>
  </w:endnote>
  <w:endnote w:type="continuationSeparator" w:id="0">
    <w:p w:rsidR="008E0AF6" w:rsidRDefault="008E0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AF6" w:rsidRDefault="008E0AF6">
      <w:r>
        <w:separator/>
      </w:r>
    </w:p>
  </w:footnote>
  <w:footnote w:type="continuationSeparator" w:id="0">
    <w:p w:rsidR="008E0AF6" w:rsidRDefault="008E0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0D48F5"/>
    <w:multiLevelType w:val="hybridMultilevel"/>
    <w:tmpl w:val="38FED650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5F8F"/>
    <w:rsid w:val="000803C0"/>
    <w:rsid w:val="000832FC"/>
    <w:rsid w:val="000858CE"/>
    <w:rsid w:val="00086999"/>
    <w:rsid w:val="0009092E"/>
    <w:rsid w:val="00092590"/>
    <w:rsid w:val="00094E0F"/>
    <w:rsid w:val="00096A57"/>
    <w:rsid w:val="000A073A"/>
    <w:rsid w:val="000B6BA7"/>
    <w:rsid w:val="000C25FB"/>
    <w:rsid w:val="000D589A"/>
    <w:rsid w:val="000E776A"/>
    <w:rsid w:val="000F6127"/>
    <w:rsid w:val="00113623"/>
    <w:rsid w:val="001331AB"/>
    <w:rsid w:val="00191FA1"/>
    <w:rsid w:val="001B7E67"/>
    <w:rsid w:val="001D00F8"/>
    <w:rsid w:val="001D461B"/>
    <w:rsid w:val="001E6393"/>
    <w:rsid w:val="001E7048"/>
    <w:rsid w:val="001F62B5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47BC"/>
    <w:rsid w:val="00317D9B"/>
    <w:rsid w:val="00317FEC"/>
    <w:rsid w:val="00324A96"/>
    <w:rsid w:val="0036409A"/>
    <w:rsid w:val="00366AD2"/>
    <w:rsid w:val="00396EFC"/>
    <w:rsid w:val="003B14F4"/>
    <w:rsid w:val="003B67BB"/>
    <w:rsid w:val="003C468C"/>
    <w:rsid w:val="003E3A89"/>
    <w:rsid w:val="003E68BF"/>
    <w:rsid w:val="003F0CAC"/>
    <w:rsid w:val="003F4610"/>
    <w:rsid w:val="003F507D"/>
    <w:rsid w:val="00416FB0"/>
    <w:rsid w:val="004713B9"/>
    <w:rsid w:val="00473578"/>
    <w:rsid w:val="00491B83"/>
    <w:rsid w:val="00494913"/>
    <w:rsid w:val="004A1F1A"/>
    <w:rsid w:val="004B6769"/>
    <w:rsid w:val="004C7A24"/>
    <w:rsid w:val="004E0D67"/>
    <w:rsid w:val="004E11D1"/>
    <w:rsid w:val="004E59BF"/>
    <w:rsid w:val="004F01A3"/>
    <w:rsid w:val="004F7945"/>
    <w:rsid w:val="00517590"/>
    <w:rsid w:val="00545346"/>
    <w:rsid w:val="005473EE"/>
    <w:rsid w:val="005839E8"/>
    <w:rsid w:val="005906A2"/>
    <w:rsid w:val="00590707"/>
    <w:rsid w:val="005A3F1D"/>
    <w:rsid w:val="005B1E8A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66143"/>
    <w:rsid w:val="006835B0"/>
    <w:rsid w:val="00685116"/>
    <w:rsid w:val="0068519E"/>
    <w:rsid w:val="006923CC"/>
    <w:rsid w:val="00697F3D"/>
    <w:rsid w:val="006B188D"/>
    <w:rsid w:val="006B6B4A"/>
    <w:rsid w:val="006D379D"/>
    <w:rsid w:val="006F6562"/>
    <w:rsid w:val="00706E1B"/>
    <w:rsid w:val="0074025F"/>
    <w:rsid w:val="00741D2D"/>
    <w:rsid w:val="00744DBD"/>
    <w:rsid w:val="007854A9"/>
    <w:rsid w:val="007A11C1"/>
    <w:rsid w:val="007B5C34"/>
    <w:rsid w:val="007C32F9"/>
    <w:rsid w:val="007D41CA"/>
    <w:rsid w:val="007F2D0B"/>
    <w:rsid w:val="007F3F90"/>
    <w:rsid w:val="00812F70"/>
    <w:rsid w:val="00817D23"/>
    <w:rsid w:val="00856AA5"/>
    <w:rsid w:val="008610BD"/>
    <w:rsid w:val="008634EA"/>
    <w:rsid w:val="00866501"/>
    <w:rsid w:val="008716B9"/>
    <w:rsid w:val="0087273A"/>
    <w:rsid w:val="008771E2"/>
    <w:rsid w:val="008910B3"/>
    <w:rsid w:val="008C1AB6"/>
    <w:rsid w:val="008D0C6F"/>
    <w:rsid w:val="008E0AF6"/>
    <w:rsid w:val="008E7A40"/>
    <w:rsid w:val="008E7A9E"/>
    <w:rsid w:val="008F3C91"/>
    <w:rsid w:val="008F437A"/>
    <w:rsid w:val="009145C0"/>
    <w:rsid w:val="0093155D"/>
    <w:rsid w:val="00954704"/>
    <w:rsid w:val="00955F7C"/>
    <w:rsid w:val="009745B1"/>
    <w:rsid w:val="00976809"/>
    <w:rsid w:val="00977A66"/>
    <w:rsid w:val="00991776"/>
    <w:rsid w:val="009A75C0"/>
    <w:rsid w:val="009B0FEF"/>
    <w:rsid w:val="009B59F7"/>
    <w:rsid w:val="009C5DF6"/>
    <w:rsid w:val="00A15F14"/>
    <w:rsid w:val="00A16857"/>
    <w:rsid w:val="00A31D75"/>
    <w:rsid w:val="00A356D6"/>
    <w:rsid w:val="00A40788"/>
    <w:rsid w:val="00A448FB"/>
    <w:rsid w:val="00A538D3"/>
    <w:rsid w:val="00A84E64"/>
    <w:rsid w:val="00A95469"/>
    <w:rsid w:val="00AB7804"/>
    <w:rsid w:val="00AC7D33"/>
    <w:rsid w:val="00AE4BF8"/>
    <w:rsid w:val="00AE6515"/>
    <w:rsid w:val="00AF7757"/>
    <w:rsid w:val="00B128F3"/>
    <w:rsid w:val="00B13829"/>
    <w:rsid w:val="00B206E7"/>
    <w:rsid w:val="00B269AE"/>
    <w:rsid w:val="00B3002F"/>
    <w:rsid w:val="00B434C7"/>
    <w:rsid w:val="00B56DBA"/>
    <w:rsid w:val="00B6095B"/>
    <w:rsid w:val="00B62FD1"/>
    <w:rsid w:val="00B71DDE"/>
    <w:rsid w:val="00B758EB"/>
    <w:rsid w:val="00B831D4"/>
    <w:rsid w:val="00BB0018"/>
    <w:rsid w:val="00BD281F"/>
    <w:rsid w:val="00BD494D"/>
    <w:rsid w:val="00BF4EBD"/>
    <w:rsid w:val="00C1115B"/>
    <w:rsid w:val="00C3027A"/>
    <w:rsid w:val="00C50EE6"/>
    <w:rsid w:val="00C65FF0"/>
    <w:rsid w:val="00C66935"/>
    <w:rsid w:val="00C714B5"/>
    <w:rsid w:val="00C72895"/>
    <w:rsid w:val="00C815C4"/>
    <w:rsid w:val="00C90B7C"/>
    <w:rsid w:val="00C93A69"/>
    <w:rsid w:val="00C97499"/>
    <w:rsid w:val="00CB0292"/>
    <w:rsid w:val="00CC624B"/>
    <w:rsid w:val="00CD3176"/>
    <w:rsid w:val="00D03699"/>
    <w:rsid w:val="00D07B1D"/>
    <w:rsid w:val="00D114DA"/>
    <w:rsid w:val="00D215E6"/>
    <w:rsid w:val="00D22F45"/>
    <w:rsid w:val="00D31192"/>
    <w:rsid w:val="00D3464B"/>
    <w:rsid w:val="00D8165B"/>
    <w:rsid w:val="00D81FB6"/>
    <w:rsid w:val="00D928BD"/>
    <w:rsid w:val="00DB120A"/>
    <w:rsid w:val="00DD25D7"/>
    <w:rsid w:val="00DD7981"/>
    <w:rsid w:val="00DF35BF"/>
    <w:rsid w:val="00E1306A"/>
    <w:rsid w:val="00E20421"/>
    <w:rsid w:val="00E23BEC"/>
    <w:rsid w:val="00E259CE"/>
    <w:rsid w:val="00E35B81"/>
    <w:rsid w:val="00E437DE"/>
    <w:rsid w:val="00E56DC8"/>
    <w:rsid w:val="00E70619"/>
    <w:rsid w:val="00EA1642"/>
    <w:rsid w:val="00EA1D3A"/>
    <w:rsid w:val="00EB507D"/>
    <w:rsid w:val="00EC238D"/>
    <w:rsid w:val="00EC6C02"/>
    <w:rsid w:val="00EF409D"/>
    <w:rsid w:val="00EF646F"/>
    <w:rsid w:val="00F27F78"/>
    <w:rsid w:val="00F34FCA"/>
    <w:rsid w:val="00F36B11"/>
    <w:rsid w:val="00F458BC"/>
    <w:rsid w:val="00F51F8D"/>
    <w:rsid w:val="00F6026C"/>
    <w:rsid w:val="00F6186F"/>
    <w:rsid w:val="00F67D49"/>
    <w:rsid w:val="00F67F8F"/>
    <w:rsid w:val="00F8408D"/>
    <w:rsid w:val="00F85880"/>
    <w:rsid w:val="00F95169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8C4B0E-41E8-4721-ACCA-287861EF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unhideWhenUsed/>
    <w:rsid w:val="00D114DA"/>
    <w:rPr>
      <w:color w:val="0000FF"/>
      <w:u w:val="single"/>
    </w:rPr>
  </w:style>
  <w:style w:type="paragraph" w:customStyle="1" w:styleId="ConsPlusNormal">
    <w:name w:val="ConsPlusNormal"/>
    <w:rsid w:val="00F36B11"/>
    <w:pPr>
      <w:widowControl w:val="0"/>
      <w:autoSpaceDE w:val="0"/>
      <w:autoSpaceDN w:val="0"/>
    </w:pPr>
    <w:rPr>
      <w:rFonts w:ascii="Calibri" w:eastAsiaTheme="minorEastAsia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DA2D7-D36A-4B9F-B605-786A141F0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8</cp:revision>
  <cp:lastPrinted>2023-08-11T02:24:00Z</cp:lastPrinted>
  <dcterms:created xsi:type="dcterms:W3CDTF">2023-09-12T22:14:00Z</dcterms:created>
  <dcterms:modified xsi:type="dcterms:W3CDTF">2023-09-14T05:00:00Z</dcterms:modified>
</cp:coreProperties>
</file>